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0B5E0" w14:textId="77777777" w:rsidR="0024667E" w:rsidRDefault="004C011E" w:rsidP="0024667E">
      <w:pPr>
        <w:pStyle w:val="Title"/>
      </w:pPr>
      <w:r>
        <w:t>Teaching Strategies Showcase</w:t>
      </w:r>
    </w:p>
    <w:p w14:paraId="5D7E3A4D" w14:textId="77777777" w:rsidR="00D73B0B" w:rsidRDefault="00EB038C" w:rsidP="007407FA">
      <w:pPr>
        <w:pStyle w:val="Subtitle"/>
      </w:pPr>
      <w:r>
        <w:t xml:space="preserve">Indiana University’s </w:t>
      </w:r>
      <w:r w:rsidR="0024667E">
        <w:t xml:space="preserve">Teaching for Student </w:t>
      </w:r>
      <w:r w:rsidR="0024667E" w:rsidRPr="007407FA">
        <w:rPr>
          <w:rFonts w:cs="Arial"/>
        </w:rPr>
        <w:t>Success</w:t>
      </w:r>
    </w:p>
    <w:p w14:paraId="4E8F8A57" w14:textId="03F3EACA" w:rsidR="0024667E" w:rsidRDefault="0024667E" w:rsidP="007407FA">
      <w:pPr>
        <w:pStyle w:val="Subtitle"/>
      </w:pPr>
      <w:r>
        <w:t xml:space="preserve"> Module </w:t>
      </w:r>
      <w:r w:rsidR="001A7CD6">
        <w:t>3</w:t>
      </w:r>
      <w:r w:rsidR="00AD66C7">
        <w:t>:</w:t>
      </w:r>
      <w:r>
        <w:t xml:space="preserve"> </w:t>
      </w:r>
      <w:r w:rsidR="001A7CD6">
        <w:t>Science of Learning</w:t>
      </w:r>
    </w:p>
    <w:p w14:paraId="6BFFF33A" w14:textId="50B182C7" w:rsidR="0024667E" w:rsidRDefault="0024667E" w:rsidP="0024667E">
      <w:pPr>
        <w:rPr>
          <w:rFonts w:cs="Arial"/>
        </w:rPr>
      </w:pPr>
    </w:p>
    <w:p w14:paraId="5522E04B" w14:textId="72D35174" w:rsidR="00D73B0B" w:rsidRDefault="004C011E" w:rsidP="003A05CB">
      <w:pPr>
        <w:ind w:left="1440" w:hanging="1440"/>
      </w:pPr>
      <w:r>
        <w:t>Title</w:t>
      </w:r>
      <w:r w:rsidR="005F478D">
        <w:t>:</w:t>
      </w:r>
      <w:r w:rsidR="005F478D">
        <w:tab/>
      </w:r>
      <w:r w:rsidR="00D4770F">
        <w:rPr>
          <w:color w:val="000000"/>
        </w:rPr>
        <w:t>Using Scaffolding for Larger/More Complex Assignments</w:t>
      </w:r>
    </w:p>
    <w:p w14:paraId="334D5C2A" w14:textId="255BE786" w:rsidR="001A7CD6" w:rsidRDefault="004C011E" w:rsidP="001A7CD6">
      <w:pPr>
        <w:pStyle w:val="NormalWeb"/>
        <w:spacing w:before="0" w:beforeAutospacing="0" w:after="0" w:afterAutospacing="0"/>
      </w:pPr>
      <w:r>
        <w:t>Strategist</w:t>
      </w:r>
      <w:r w:rsidR="005F478D">
        <w:t>:</w:t>
      </w:r>
      <w:r w:rsidR="005F478D">
        <w:tab/>
      </w:r>
      <w:r w:rsidR="00D4770F">
        <w:rPr>
          <w:rFonts w:ascii="Georgia" w:hAnsi="Georgia"/>
          <w:color w:val="000000"/>
        </w:rPr>
        <w:t xml:space="preserve">Barbara </w:t>
      </w:r>
      <w:proofErr w:type="spellStart"/>
      <w:r w:rsidR="00D4770F">
        <w:rPr>
          <w:rFonts w:ascii="Georgia" w:hAnsi="Georgia"/>
          <w:color w:val="000000"/>
        </w:rPr>
        <w:t>Kutis</w:t>
      </w:r>
      <w:proofErr w:type="spellEnd"/>
    </w:p>
    <w:p w14:paraId="41CDACB2" w14:textId="36EAE18B" w:rsidR="00AD66C7" w:rsidRPr="000C76BB" w:rsidRDefault="004C011E" w:rsidP="00CB3BC4">
      <w:pPr>
        <w:pStyle w:val="NormalWeb"/>
        <w:spacing w:before="0" w:beforeAutospacing="0" w:after="0" w:afterAutospacing="0"/>
        <w:rPr>
          <w:rFonts w:eastAsiaTheme="majorEastAsia"/>
          <w:color w:val="005B94"/>
          <w:szCs w:val="26"/>
        </w:rPr>
      </w:pPr>
      <w:r>
        <w:t>Location</w:t>
      </w:r>
      <w:r w:rsidR="005F478D">
        <w:t>:</w:t>
      </w:r>
      <w:r w:rsidR="005F478D">
        <w:tab/>
      </w:r>
      <w:r w:rsidR="00D4770F">
        <w:rPr>
          <w:rFonts w:ascii="Georgia" w:hAnsi="Georgia"/>
          <w:color w:val="000000"/>
        </w:rPr>
        <w:t>IU Southeast</w:t>
      </w:r>
    </w:p>
    <w:p w14:paraId="0A66EDFA" w14:textId="6D2313C6" w:rsidR="00AD66C7" w:rsidRPr="00972F45" w:rsidRDefault="001A7CD6" w:rsidP="000C76BB">
      <w:pPr>
        <w:pStyle w:val="Heading1"/>
      </w:pPr>
      <w:r>
        <w:t xml:space="preserve">Context for this </w:t>
      </w:r>
      <w:r w:rsidR="003A05CB">
        <w:t>s</w:t>
      </w:r>
      <w:r>
        <w:t>trategy</w:t>
      </w:r>
    </w:p>
    <w:p w14:paraId="125F920A" w14:textId="0F6A2E15" w:rsidR="00D4770F" w:rsidRDefault="00D4770F" w:rsidP="00D4770F">
      <w:pPr>
        <w:pStyle w:val="NormalWeb"/>
        <w:spacing w:before="0" w:beforeAutospacing="0" w:after="0" w:afterAutospacing="0"/>
        <w:rPr>
          <w:rFonts w:ascii="Georgia" w:hAnsi="Georgia"/>
          <w:color w:val="000000"/>
        </w:rPr>
      </w:pPr>
      <w:r>
        <w:rPr>
          <w:rFonts w:ascii="Georgia" w:hAnsi="Georgia"/>
          <w:color w:val="000000"/>
        </w:rPr>
        <w:t xml:space="preserve">In the field of art history, a standard assignment introduced in lower level courses is the formal analysis, that is the description and analysis of a work of art’s </w:t>
      </w:r>
      <w:r>
        <w:rPr>
          <w:rFonts w:ascii="Georgia" w:hAnsi="Georgia"/>
          <w:i/>
          <w:iCs/>
          <w:color w:val="000000"/>
        </w:rPr>
        <w:t>form</w:t>
      </w:r>
      <w:r>
        <w:rPr>
          <w:rFonts w:ascii="Georgia" w:hAnsi="Georgia"/>
          <w:color w:val="000000"/>
        </w:rPr>
        <w:t xml:space="preserve"> and how that form conveys the </w:t>
      </w:r>
      <w:r>
        <w:rPr>
          <w:rFonts w:ascii="Georgia" w:hAnsi="Georgia"/>
          <w:i/>
          <w:iCs/>
          <w:color w:val="000000"/>
        </w:rPr>
        <w:t>subject</w:t>
      </w:r>
      <w:r>
        <w:rPr>
          <w:rFonts w:ascii="Georgia" w:hAnsi="Georgia"/>
          <w:color w:val="000000"/>
        </w:rPr>
        <w:t xml:space="preserve"> of the work (what it represents) and creates </w:t>
      </w:r>
      <w:r>
        <w:rPr>
          <w:rFonts w:ascii="Georgia" w:hAnsi="Georgia"/>
          <w:i/>
          <w:iCs/>
          <w:color w:val="000000"/>
        </w:rPr>
        <w:t>meaning.</w:t>
      </w:r>
      <w:r>
        <w:rPr>
          <w:rFonts w:ascii="Georgia" w:hAnsi="Georgia"/>
          <w:color w:val="000000"/>
        </w:rPr>
        <w:t xml:space="preserve"> This task is complex as it requires the novice to learn a new set of terms, develop one’s ability to recognize and identify those terms in a work of art, and finally, to be able to synthesize those observations to argue how those parts create the whole (subject and meaning).</w:t>
      </w:r>
    </w:p>
    <w:p w14:paraId="77769A7E" w14:textId="77777777" w:rsidR="00D4770F" w:rsidRDefault="00D4770F" w:rsidP="00D4770F">
      <w:pPr>
        <w:pStyle w:val="NormalWeb"/>
        <w:spacing w:before="0" w:beforeAutospacing="0" w:after="0" w:afterAutospacing="0"/>
      </w:pPr>
    </w:p>
    <w:p w14:paraId="777247F8" w14:textId="1C11BCD3" w:rsidR="00D4770F" w:rsidRDefault="00D4770F" w:rsidP="00D4770F">
      <w:pPr>
        <w:pStyle w:val="NormalWeb"/>
        <w:spacing w:before="0" w:beforeAutospacing="0" w:after="0" w:afterAutospacing="0"/>
        <w:rPr>
          <w:rFonts w:ascii="Georgia" w:hAnsi="Georgia"/>
          <w:color w:val="000000"/>
        </w:rPr>
      </w:pPr>
      <w:r>
        <w:rPr>
          <w:rFonts w:ascii="Georgia" w:hAnsi="Georgia"/>
          <w:color w:val="000000"/>
        </w:rPr>
        <w:t>In performing a formal analysis, there are many formal elements to consider and students often default to providing what essentially reads like a list (thus providing little to no argumentation) and lack a discussion of meaning. Or, students conduct research and provide others’ interpretations of the work and dismiss their own ability to analyze the visual.</w:t>
      </w:r>
    </w:p>
    <w:p w14:paraId="6F85B79A" w14:textId="77777777" w:rsidR="00D4770F" w:rsidRDefault="00D4770F" w:rsidP="00D4770F">
      <w:pPr>
        <w:pStyle w:val="NormalWeb"/>
        <w:spacing w:before="0" w:beforeAutospacing="0" w:after="0" w:afterAutospacing="0"/>
      </w:pPr>
    </w:p>
    <w:p w14:paraId="763FFA17" w14:textId="77777777" w:rsidR="00D4770F" w:rsidRDefault="00D4770F" w:rsidP="00D4770F">
      <w:pPr>
        <w:pStyle w:val="NormalWeb"/>
        <w:spacing w:before="0" w:beforeAutospacing="0" w:after="80" w:afterAutospacing="0"/>
      </w:pPr>
      <w:r>
        <w:rPr>
          <w:rFonts w:ascii="Georgia" w:hAnsi="Georgia"/>
          <w:color w:val="000000"/>
        </w:rPr>
        <w:t>In order to develop the lower order skills of formal observation and aid the development of the higher order formal analysis, I have implemented a series of assignments to scaffold (or support) the development of student’s visual analysis skills and the completion of a formal analysis paper.</w:t>
      </w:r>
    </w:p>
    <w:p w14:paraId="606E2832" w14:textId="75BA9574" w:rsidR="003A05CB" w:rsidRDefault="003A05CB" w:rsidP="001A7CD6">
      <w:pPr>
        <w:pStyle w:val="Heading1"/>
      </w:pPr>
      <w:r>
        <w:t>Materials needed to implement this strategy</w:t>
      </w:r>
    </w:p>
    <w:p w14:paraId="12046D2B" w14:textId="46C520C1" w:rsidR="003A05CB" w:rsidRPr="003A05CB" w:rsidRDefault="00D4770F" w:rsidP="003A05CB">
      <w:r>
        <w:rPr>
          <w:color w:val="000000"/>
        </w:rPr>
        <w:t>All you need is time to develop the smaller assignments and rubrics</w:t>
      </w:r>
      <w:r w:rsidR="001807B9">
        <w:rPr>
          <w:color w:val="000000"/>
        </w:rPr>
        <w:t>.</w:t>
      </w:r>
    </w:p>
    <w:p w14:paraId="11D1F8CE" w14:textId="65457F16" w:rsidR="001A7CD6" w:rsidRPr="00972F45" w:rsidRDefault="001A7CD6" w:rsidP="001A7CD6">
      <w:pPr>
        <w:pStyle w:val="Heading1"/>
      </w:pPr>
      <w:r>
        <w:t xml:space="preserve">Step-by-step </w:t>
      </w:r>
      <w:r w:rsidR="003A05CB">
        <w:t>i</w:t>
      </w:r>
      <w:r>
        <w:t>mplementation</w:t>
      </w:r>
    </w:p>
    <w:p w14:paraId="3C6359F4" w14:textId="77777777" w:rsidR="00D4770F" w:rsidRPr="00D4770F" w:rsidRDefault="00D4770F" w:rsidP="00EF0FB0">
      <w:pPr>
        <w:numPr>
          <w:ilvl w:val="0"/>
          <w:numId w:val="1"/>
        </w:numPr>
        <w:spacing w:after="240"/>
        <w:textAlignment w:val="baseline"/>
        <w:rPr>
          <w:b/>
          <w:bCs/>
          <w:color w:val="000000"/>
        </w:rPr>
      </w:pPr>
      <w:r w:rsidRPr="00D4770F">
        <w:rPr>
          <w:b/>
          <w:bCs/>
          <w:color w:val="000000"/>
        </w:rPr>
        <w:t>Decide what the most essential tasks are of the larger assignment and the overall purpose.</w:t>
      </w:r>
    </w:p>
    <w:p w14:paraId="4A7EB849" w14:textId="77777777" w:rsidR="00D4770F" w:rsidRPr="00D4770F" w:rsidRDefault="00D4770F" w:rsidP="00D4770F">
      <w:pPr>
        <w:spacing w:after="240"/>
        <w:ind w:left="720"/>
        <w:rPr>
          <w:rFonts w:ascii="Times New Roman" w:hAnsi="Times New Roman"/>
        </w:rPr>
      </w:pPr>
      <w:r w:rsidRPr="00D4770F">
        <w:rPr>
          <w:color w:val="000000"/>
        </w:rPr>
        <w:t>I decided (somewhat arbitrarily) that a successful formal analysis would address at least three of the formal elements of a work of art. By choosing three different elements, I believe students have enough material to craft a stronger argument about the work’s subject and meaning. </w:t>
      </w:r>
    </w:p>
    <w:p w14:paraId="7A70AFC4" w14:textId="77777777" w:rsidR="00D4770F" w:rsidRPr="00D4770F" w:rsidRDefault="00D4770F" w:rsidP="00EF0FB0">
      <w:pPr>
        <w:numPr>
          <w:ilvl w:val="0"/>
          <w:numId w:val="2"/>
        </w:numPr>
        <w:spacing w:after="240"/>
        <w:textAlignment w:val="baseline"/>
        <w:rPr>
          <w:b/>
          <w:bCs/>
          <w:color w:val="000000"/>
        </w:rPr>
      </w:pPr>
      <w:r w:rsidRPr="00D4770F">
        <w:rPr>
          <w:b/>
          <w:bCs/>
          <w:color w:val="000000"/>
        </w:rPr>
        <w:t>Decide how the essential tasks can be applied across all students.</w:t>
      </w:r>
    </w:p>
    <w:p w14:paraId="5013FDF2" w14:textId="77777777" w:rsidR="00D4770F" w:rsidRPr="00D4770F" w:rsidRDefault="00D4770F" w:rsidP="00D4770F">
      <w:pPr>
        <w:spacing w:after="240"/>
        <w:ind w:left="720"/>
        <w:rPr>
          <w:rFonts w:ascii="Times New Roman" w:hAnsi="Times New Roman"/>
        </w:rPr>
      </w:pPr>
      <w:r w:rsidRPr="00D4770F">
        <w:rPr>
          <w:color w:val="000000"/>
        </w:rPr>
        <w:lastRenderedPageBreak/>
        <w:t>For my assignment, students are able to select a work of art from a predetermined group of paintings provided by me and thus there is a potential for some of the formal elements to be harder to observe or absent (e.g. a monochrome painting). Thus I had to consider from which works of art students would be able to choose and how the scaffolded assignments would apply to all.</w:t>
      </w:r>
    </w:p>
    <w:p w14:paraId="2A01FD9D" w14:textId="77777777" w:rsidR="00D4770F" w:rsidRPr="00D4770F" w:rsidRDefault="00D4770F" w:rsidP="00EF0FB0">
      <w:pPr>
        <w:numPr>
          <w:ilvl w:val="0"/>
          <w:numId w:val="3"/>
        </w:numPr>
        <w:spacing w:after="240"/>
        <w:textAlignment w:val="baseline"/>
        <w:rPr>
          <w:b/>
          <w:bCs/>
          <w:color w:val="000000"/>
        </w:rPr>
      </w:pPr>
      <w:r w:rsidRPr="00D4770F">
        <w:rPr>
          <w:b/>
          <w:bCs/>
          <w:color w:val="000000"/>
        </w:rPr>
        <w:t>Break the essential tasks into smaller assignments and create rubrics.</w:t>
      </w:r>
    </w:p>
    <w:p w14:paraId="296B3B91" w14:textId="77777777" w:rsidR="00D4770F" w:rsidRPr="00D4770F" w:rsidRDefault="00D4770F" w:rsidP="00D4770F">
      <w:pPr>
        <w:spacing w:after="240"/>
        <w:ind w:left="720"/>
        <w:rPr>
          <w:rFonts w:ascii="Times New Roman" w:hAnsi="Times New Roman"/>
        </w:rPr>
      </w:pPr>
      <w:r w:rsidRPr="00D4770F">
        <w:rPr>
          <w:color w:val="000000"/>
        </w:rPr>
        <w:t>I selected color, line, and composition as the three formal elements that students would investigate. For each assignment, I developed instructions which would guide students into a deeper observation of the artwork, and made available grading rubrics to indicate how students would be assessed.</w:t>
      </w:r>
    </w:p>
    <w:p w14:paraId="11D8E0C0" w14:textId="77777777" w:rsidR="00D4770F" w:rsidRPr="00D4770F" w:rsidRDefault="00D4770F" w:rsidP="00EF0FB0">
      <w:pPr>
        <w:numPr>
          <w:ilvl w:val="0"/>
          <w:numId w:val="4"/>
        </w:numPr>
        <w:spacing w:after="240"/>
        <w:textAlignment w:val="baseline"/>
        <w:rPr>
          <w:b/>
          <w:bCs/>
          <w:color w:val="000000"/>
        </w:rPr>
      </w:pPr>
      <w:r w:rsidRPr="00D4770F">
        <w:rPr>
          <w:b/>
          <w:bCs/>
          <w:color w:val="000000"/>
        </w:rPr>
        <w:t>Stagger assignment due dates and provide feedback.</w:t>
      </w:r>
    </w:p>
    <w:p w14:paraId="4832ECA2" w14:textId="77777777" w:rsidR="00D4770F" w:rsidRPr="00D4770F" w:rsidRDefault="00D4770F" w:rsidP="00D4770F">
      <w:pPr>
        <w:spacing w:after="240"/>
        <w:ind w:left="720"/>
        <w:rPr>
          <w:rFonts w:ascii="Times New Roman" w:hAnsi="Times New Roman"/>
        </w:rPr>
      </w:pPr>
      <w:r w:rsidRPr="00D4770F">
        <w:rPr>
          <w:color w:val="000000"/>
        </w:rPr>
        <w:t xml:space="preserve">In traditional semester-long courses, I have each formal analysis assignment due approximately every three-four weeks. I provide feedback via the grading rubric and with written comments in their document (using </w:t>
      </w:r>
      <w:proofErr w:type="spellStart"/>
      <w:r w:rsidRPr="00D4770F">
        <w:rPr>
          <w:color w:val="000000"/>
        </w:rPr>
        <w:t>Speedgrader</w:t>
      </w:r>
      <w:proofErr w:type="spellEnd"/>
      <w:r w:rsidRPr="00D4770F">
        <w:rPr>
          <w:color w:val="000000"/>
        </w:rPr>
        <w:t>) to provide instruction on where to develop looking and writing skills.</w:t>
      </w:r>
    </w:p>
    <w:p w14:paraId="64ACD63F" w14:textId="77777777" w:rsidR="00D4770F" w:rsidRPr="00D4770F" w:rsidRDefault="00D4770F" w:rsidP="00EF0FB0">
      <w:pPr>
        <w:numPr>
          <w:ilvl w:val="0"/>
          <w:numId w:val="5"/>
        </w:numPr>
        <w:spacing w:after="240"/>
        <w:textAlignment w:val="baseline"/>
        <w:rPr>
          <w:b/>
          <w:bCs/>
          <w:color w:val="000000"/>
        </w:rPr>
      </w:pPr>
      <w:r w:rsidRPr="00D4770F">
        <w:rPr>
          <w:b/>
          <w:bCs/>
          <w:color w:val="000000"/>
        </w:rPr>
        <w:t>Synthesize – How to Achieve the final product</w:t>
      </w:r>
    </w:p>
    <w:p w14:paraId="55A40F18" w14:textId="77777777" w:rsidR="00D4770F" w:rsidRPr="00D4770F" w:rsidRDefault="00D4770F" w:rsidP="00D4770F">
      <w:pPr>
        <w:spacing w:after="240"/>
        <w:ind w:left="720"/>
        <w:rPr>
          <w:rFonts w:ascii="Times New Roman" w:hAnsi="Times New Roman"/>
        </w:rPr>
      </w:pPr>
      <w:r w:rsidRPr="00D4770F">
        <w:rPr>
          <w:color w:val="000000"/>
        </w:rPr>
        <w:t>Finally, I provide instruction to each student on how to take each part of the analysis and the feedback they rece</w:t>
      </w:r>
      <w:bookmarkStart w:id="0" w:name="_GoBack"/>
      <w:bookmarkEnd w:id="0"/>
      <w:r w:rsidRPr="00D4770F">
        <w:rPr>
          <w:color w:val="000000"/>
        </w:rPr>
        <w:t>ived to create the final product—a formal analysis which communicates how the objects form conveys the subject and meaning.</w:t>
      </w:r>
    </w:p>
    <w:p w14:paraId="3FA7C401" w14:textId="124CF37A" w:rsidR="003A05CB" w:rsidRDefault="003A05CB" w:rsidP="003A05CB">
      <w:pPr>
        <w:pStyle w:val="Heading1"/>
      </w:pPr>
      <w:r>
        <w:t>Student response to this strategy</w:t>
      </w:r>
    </w:p>
    <w:p w14:paraId="47789258" w14:textId="77777777" w:rsidR="00EF0FB0" w:rsidRPr="00EF0FB0" w:rsidRDefault="00EF0FB0" w:rsidP="00EF0FB0">
      <w:pPr>
        <w:rPr>
          <w:rFonts w:ascii="Times New Roman" w:hAnsi="Times New Roman"/>
        </w:rPr>
      </w:pPr>
      <w:r w:rsidRPr="00EF0FB0">
        <w:rPr>
          <w:color w:val="000000"/>
        </w:rPr>
        <w:t>As a result of this change, a small - but significant - improvement was seen in student performance as seen in the table below. Qualitative feedback indicates that students appreciate this breakdown of the assignment, but some still would like more feedback. Overall, students earning an excellent or good score before the scaffolding assignments was 85%, and after, 90%. Perhaps most significant is the number of students earning excellent scores after the added assignments - I saw a 15% increase in student performance.</w:t>
      </w:r>
    </w:p>
    <w:p w14:paraId="779304BE" w14:textId="77777777" w:rsidR="00EF0FB0" w:rsidRPr="00EF0FB0" w:rsidRDefault="00EF0FB0" w:rsidP="00EF0FB0">
      <w:pPr>
        <w:rPr>
          <w:rFonts w:ascii="Times New Roman" w:hAnsi="Times New Roman"/>
        </w:rPr>
      </w:pPr>
      <w:r w:rsidRPr="00EF0FB0">
        <w:rPr>
          <w:color w:val="000000"/>
        </w:rPr>
        <w:t> </w:t>
      </w:r>
    </w:p>
    <w:tbl>
      <w:tblPr>
        <w:tblStyle w:val="TableGrid"/>
        <w:tblW w:w="0" w:type="auto"/>
        <w:tblLook w:val="04A0" w:firstRow="1" w:lastRow="0" w:firstColumn="1" w:lastColumn="0" w:noHBand="0" w:noVBand="1"/>
        <w:tblCaption w:val="Student Performance With and Without Scaffolding"/>
      </w:tblPr>
      <w:tblGrid>
        <w:gridCol w:w="2372"/>
        <w:gridCol w:w="5265"/>
        <w:gridCol w:w="3153"/>
      </w:tblGrid>
      <w:tr w:rsidR="00EF0FB0" w:rsidRPr="00EF0FB0" w14:paraId="43C517A6" w14:textId="77777777" w:rsidTr="002502E0">
        <w:trPr>
          <w:trHeight w:val="980"/>
          <w:tblHeader/>
        </w:trPr>
        <w:tc>
          <w:tcPr>
            <w:tcW w:w="0" w:type="auto"/>
            <w:hideMark/>
          </w:tcPr>
          <w:p w14:paraId="5E29F7DD" w14:textId="77777777" w:rsidR="00EF0FB0" w:rsidRPr="00EF0FB0" w:rsidRDefault="00EF0FB0" w:rsidP="00EF0FB0">
            <w:pPr>
              <w:rPr>
                <w:rFonts w:ascii="Times New Roman" w:hAnsi="Times New Roman"/>
              </w:rPr>
            </w:pPr>
            <w:r w:rsidRPr="00EF0FB0">
              <w:rPr>
                <w:color w:val="000000"/>
              </w:rPr>
              <w:t>Formal analysis paper</w:t>
            </w:r>
          </w:p>
        </w:tc>
        <w:tc>
          <w:tcPr>
            <w:tcW w:w="0" w:type="auto"/>
            <w:hideMark/>
          </w:tcPr>
          <w:p w14:paraId="0B16C975" w14:textId="77777777" w:rsidR="00EF0FB0" w:rsidRPr="00EF0FB0" w:rsidRDefault="00EF0FB0" w:rsidP="00EF0FB0">
            <w:pPr>
              <w:rPr>
                <w:rFonts w:ascii="Times New Roman" w:hAnsi="Times New Roman"/>
              </w:rPr>
            </w:pPr>
            <w:r w:rsidRPr="00EF0FB0">
              <w:rPr>
                <w:color w:val="000000"/>
              </w:rPr>
              <w:t>Before Scaffolding Assignments (Fall 2014-Fall 2016)</w:t>
            </w:r>
          </w:p>
        </w:tc>
        <w:tc>
          <w:tcPr>
            <w:tcW w:w="0" w:type="auto"/>
            <w:hideMark/>
          </w:tcPr>
          <w:p w14:paraId="043B3DC3" w14:textId="77777777" w:rsidR="00EF0FB0" w:rsidRPr="00EF0FB0" w:rsidRDefault="00EF0FB0" w:rsidP="00EF0FB0">
            <w:pPr>
              <w:rPr>
                <w:rFonts w:ascii="Times New Roman" w:hAnsi="Times New Roman"/>
              </w:rPr>
            </w:pPr>
            <w:r w:rsidRPr="00EF0FB0">
              <w:rPr>
                <w:color w:val="000000"/>
              </w:rPr>
              <w:t>With Scaffolding Assignments</w:t>
            </w:r>
          </w:p>
          <w:p w14:paraId="6FBD146A" w14:textId="77777777" w:rsidR="00EF0FB0" w:rsidRPr="00EF0FB0" w:rsidRDefault="00EF0FB0" w:rsidP="00EF0FB0">
            <w:pPr>
              <w:rPr>
                <w:rFonts w:ascii="Times New Roman" w:hAnsi="Times New Roman"/>
              </w:rPr>
            </w:pPr>
            <w:r w:rsidRPr="00EF0FB0">
              <w:rPr>
                <w:color w:val="000000"/>
              </w:rPr>
              <w:t> (Spring 2017- Summer 2019)</w:t>
            </w:r>
          </w:p>
        </w:tc>
      </w:tr>
      <w:tr w:rsidR="00EF0FB0" w:rsidRPr="00EF0FB0" w14:paraId="5AF16A56" w14:textId="77777777" w:rsidTr="00EF0FB0">
        <w:trPr>
          <w:trHeight w:val="480"/>
        </w:trPr>
        <w:tc>
          <w:tcPr>
            <w:tcW w:w="0" w:type="auto"/>
            <w:hideMark/>
          </w:tcPr>
          <w:p w14:paraId="7B291FEE" w14:textId="77777777" w:rsidR="00EF0FB0" w:rsidRPr="00EF0FB0" w:rsidRDefault="00EF0FB0" w:rsidP="00EF0FB0">
            <w:pPr>
              <w:rPr>
                <w:rFonts w:ascii="Times New Roman" w:hAnsi="Times New Roman"/>
              </w:rPr>
            </w:pPr>
            <w:r w:rsidRPr="00EF0FB0">
              <w:rPr>
                <w:color w:val="000000"/>
              </w:rPr>
              <w:t>Excellent</w:t>
            </w:r>
          </w:p>
        </w:tc>
        <w:tc>
          <w:tcPr>
            <w:tcW w:w="0" w:type="auto"/>
            <w:hideMark/>
          </w:tcPr>
          <w:p w14:paraId="73BAEB7D" w14:textId="77777777" w:rsidR="00EF0FB0" w:rsidRPr="00EF0FB0" w:rsidRDefault="00EF0FB0" w:rsidP="00EF0FB0">
            <w:pPr>
              <w:rPr>
                <w:rFonts w:ascii="Times New Roman" w:hAnsi="Times New Roman"/>
              </w:rPr>
            </w:pPr>
            <w:r w:rsidRPr="00EF0FB0">
              <w:rPr>
                <w:color w:val="000000"/>
              </w:rPr>
              <w:t>54% of students (69)</w:t>
            </w:r>
          </w:p>
        </w:tc>
        <w:tc>
          <w:tcPr>
            <w:tcW w:w="0" w:type="auto"/>
            <w:hideMark/>
          </w:tcPr>
          <w:p w14:paraId="64E90854" w14:textId="77777777" w:rsidR="00EF0FB0" w:rsidRPr="00EF0FB0" w:rsidRDefault="00EF0FB0" w:rsidP="00EF0FB0">
            <w:pPr>
              <w:rPr>
                <w:rFonts w:ascii="Times New Roman" w:hAnsi="Times New Roman"/>
              </w:rPr>
            </w:pPr>
            <w:r w:rsidRPr="00EF0FB0">
              <w:rPr>
                <w:color w:val="000000"/>
              </w:rPr>
              <w:t>69.5% (98)</w:t>
            </w:r>
          </w:p>
        </w:tc>
      </w:tr>
      <w:tr w:rsidR="00EF0FB0" w:rsidRPr="00EF0FB0" w14:paraId="7196D66B" w14:textId="77777777" w:rsidTr="00EF0FB0">
        <w:trPr>
          <w:trHeight w:val="480"/>
        </w:trPr>
        <w:tc>
          <w:tcPr>
            <w:tcW w:w="0" w:type="auto"/>
            <w:hideMark/>
          </w:tcPr>
          <w:p w14:paraId="7A894DB0" w14:textId="77777777" w:rsidR="00EF0FB0" w:rsidRPr="00EF0FB0" w:rsidRDefault="00EF0FB0" w:rsidP="00EF0FB0">
            <w:pPr>
              <w:rPr>
                <w:rFonts w:ascii="Times New Roman" w:hAnsi="Times New Roman"/>
              </w:rPr>
            </w:pPr>
            <w:r w:rsidRPr="00EF0FB0">
              <w:rPr>
                <w:color w:val="000000"/>
              </w:rPr>
              <w:t>Good</w:t>
            </w:r>
          </w:p>
        </w:tc>
        <w:tc>
          <w:tcPr>
            <w:tcW w:w="0" w:type="auto"/>
            <w:hideMark/>
          </w:tcPr>
          <w:p w14:paraId="00766116" w14:textId="77777777" w:rsidR="00EF0FB0" w:rsidRPr="00EF0FB0" w:rsidRDefault="00EF0FB0" w:rsidP="00EF0FB0">
            <w:pPr>
              <w:rPr>
                <w:rFonts w:ascii="Times New Roman" w:hAnsi="Times New Roman"/>
              </w:rPr>
            </w:pPr>
            <w:r w:rsidRPr="00EF0FB0">
              <w:rPr>
                <w:color w:val="000000"/>
              </w:rPr>
              <w:t>31% of students (39)</w:t>
            </w:r>
          </w:p>
        </w:tc>
        <w:tc>
          <w:tcPr>
            <w:tcW w:w="0" w:type="auto"/>
            <w:hideMark/>
          </w:tcPr>
          <w:p w14:paraId="58773E1D" w14:textId="77777777" w:rsidR="00EF0FB0" w:rsidRPr="00EF0FB0" w:rsidRDefault="00EF0FB0" w:rsidP="00EF0FB0">
            <w:pPr>
              <w:rPr>
                <w:rFonts w:ascii="Times New Roman" w:hAnsi="Times New Roman"/>
              </w:rPr>
            </w:pPr>
            <w:r w:rsidRPr="00EF0FB0">
              <w:rPr>
                <w:color w:val="000000"/>
              </w:rPr>
              <w:t>20.5% (29)</w:t>
            </w:r>
          </w:p>
        </w:tc>
      </w:tr>
      <w:tr w:rsidR="00EF0FB0" w:rsidRPr="00EF0FB0" w14:paraId="171CBF37" w14:textId="77777777" w:rsidTr="00EF0FB0">
        <w:trPr>
          <w:trHeight w:val="740"/>
        </w:trPr>
        <w:tc>
          <w:tcPr>
            <w:tcW w:w="0" w:type="auto"/>
            <w:hideMark/>
          </w:tcPr>
          <w:p w14:paraId="42ACC427" w14:textId="77777777" w:rsidR="00EF0FB0" w:rsidRPr="00EF0FB0" w:rsidRDefault="00EF0FB0" w:rsidP="00EF0FB0">
            <w:pPr>
              <w:rPr>
                <w:rFonts w:ascii="Times New Roman" w:hAnsi="Times New Roman"/>
              </w:rPr>
            </w:pPr>
            <w:r w:rsidRPr="00EF0FB0">
              <w:rPr>
                <w:color w:val="000000"/>
              </w:rPr>
              <w:t>Minimal or below</w:t>
            </w:r>
          </w:p>
        </w:tc>
        <w:tc>
          <w:tcPr>
            <w:tcW w:w="0" w:type="auto"/>
            <w:hideMark/>
          </w:tcPr>
          <w:p w14:paraId="78EDDA9D" w14:textId="77777777" w:rsidR="00EF0FB0" w:rsidRPr="00EF0FB0" w:rsidRDefault="00EF0FB0" w:rsidP="00EF0FB0">
            <w:pPr>
              <w:rPr>
                <w:rFonts w:ascii="Times New Roman" w:hAnsi="Times New Roman"/>
              </w:rPr>
            </w:pPr>
            <w:r w:rsidRPr="00EF0FB0">
              <w:rPr>
                <w:color w:val="000000"/>
              </w:rPr>
              <w:t>15% of students (19)</w:t>
            </w:r>
          </w:p>
        </w:tc>
        <w:tc>
          <w:tcPr>
            <w:tcW w:w="0" w:type="auto"/>
            <w:hideMark/>
          </w:tcPr>
          <w:p w14:paraId="57E8C00E" w14:textId="77777777" w:rsidR="00EF0FB0" w:rsidRPr="00EF0FB0" w:rsidRDefault="00EF0FB0" w:rsidP="00EF0FB0">
            <w:pPr>
              <w:rPr>
                <w:rFonts w:ascii="Times New Roman" w:hAnsi="Times New Roman"/>
              </w:rPr>
            </w:pPr>
            <w:r w:rsidRPr="00EF0FB0">
              <w:rPr>
                <w:color w:val="000000"/>
              </w:rPr>
              <w:t>10% (14)</w:t>
            </w:r>
          </w:p>
        </w:tc>
      </w:tr>
      <w:tr w:rsidR="00EF0FB0" w:rsidRPr="00EF0FB0" w14:paraId="55E9B5B3" w14:textId="77777777" w:rsidTr="00EF0FB0">
        <w:trPr>
          <w:trHeight w:val="480"/>
        </w:trPr>
        <w:tc>
          <w:tcPr>
            <w:tcW w:w="0" w:type="auto"/>
            <w:hideMark/>
          </w:tcPr>
          <w:p w14:paraId="44E06A8F" w14:textId="77777777" w:rsidR="00EF0FB0" w:rsidRPr="00EF0FB0" w:rsidRDefault="00EF0FB0" w:rsidP="00EF0FB0">
            <w:pPr>
              <w:rPr>
                <w:rFonts w:ascii="Times New Roman" w:hAnsi="Times New Roman"/>
              </w:rPr>
            </w:pPr>
            <w:r w:rsidRPr="00EF0FB0">
              <w:rPr>
                <w:color w:val="000000"/>
              </w:rPr>
              <w:t> </w:t>
            </w:r>
          </w:p>
        </w:tc>
        <w:tc>
          <w:tcPr>
            <w:tcW w:w="0" w:type="auto"/>
            <w:hideMark/>
          </w:tcPr>
          <w:p w14:paraId="7064D806" w14:textId="77777777" w:rsidR="00EF0FB0" w:rsidRPr="00EF0FB0" w:rsidRDefault="00EF0FB0" w:rsidP="00EF0FB0">
            <w:pPr>
              <w:rPr>
                <w:rFonts w:ascii="Times New Roman" w:hAnsi="Times New Roman"/>
              </w:rPr>
            </w:pPr>
            <w:r w:rsidRPr="00EF0FB0">
              <w:rPr>
                <w:color w:val="000000"/>
              </w:rPr>
              <w:t>N=127</w:t>
            </w:r>
          </w:p>
        </w:tc>
        <w:tc>
          <w:tcPr>
            <w:tcW w:w="0" w:type="auto"/>
            <w:hideMark/>
          </w:tcPr>
          <w:p w14:paraId="67C0437B" w14:textId="77777777" w:rsidR="00EF0FB0" w:rsidRPr="00EF0FB0" w:rsidRDefault="00EF0FB0" w:rsidP="00EF0FB0">
            <w:pPr>
              <w:rPr>
                <w:rFonts w:ascii="Times New Roman" w:hAnsi="Times New Roman"/>
              </w:rPr>
            </w:pPr>
            <w:r w:rsidRPr="00EF0FB0">
              <w:rPr>
                <w:color w:val="000000"/>
              </w:rPr>
              <w:t>N = 141</w:t>
            </w:r>
          </w:p>
        </w:tc>
      </w:tr>
    </w:tbl>
    <w:p w14:paraId="3FF14B67" w14:textId="1127E7A2" w:rsidR="005F478D" w:rsidRPr="005F478D" w:rsidRDefault="005F478D" w:rsidP="001807B9">
      <w:pPr>
        <w:spacing w:after="240"/>
        <w:ind w:left="360"/>
        <w:rPr>
          <w:rFonts w:eastAsiaTheme="minorEastAsia"/>
        </w:rPr>
      </w:pPr>
    </w:p>
    <w:sectPr w:rsidR="005F478D" w:rsidRPr="005F478D" w:rsidSect="00F928A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74569" w14:textId="77777777" w:rsidR="00D10E2E" w:rsidRDefault="00D10E2E" w:rsidP="002B110D">
      <w:r>
        <w:separator/>
      </w:r>
    </w:p>
  </w:endnote>
  <w:endnote w:type="continuationSeparator" w:id="0">
    <w:p w14:paraId="188CE75C" w14:textId="77777777" w:rsidR="00D10E2E" w:rsidRDefault="00D10E2E" w:rsidP="002B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2BB79" w14:textId="04754821" w:rsidR="002B110D" w:rsidRPr="002B110D" w:rsidRDefault="002B110D" w:rsidP="002B110D">
    <w:pPr>
      <w:pStyle w:val="Footer"/>
      <w:jc w:val="left"/>
      <w:rPr>
        <w:rFonts w:ascii="Georgia" w:hAnsi="Georgia"/>
      </w:rPr>
    </w:pPr>
    <w:r w:rsidRPr="002B110D">
      <w:rPr>
        <w:rFonts w:ascii="Georgia" w:hAnsi="Georgia" w:cs="Segoe UI"/>
        <w:shd w:val="clear" w:color="auto" w:fill="FFFFFF"/>
      </w:rPr>
      <w:t xml:space="preserve">© Barbara </w:t>
    </w:r>
    <w:proofErr w:type="spellStart"/>
    <w:r w:rsidRPr="002B110D">
      <w:rPr>
        <w:rFonts w:ascii="Georgia" w:hAnsi="Georgia" w:cs="Segoe UI"/>
        <w:shd w:val="clear" w:color="auto" w:fill="FFFFFF"/>
      </w:rPr>
      <w:t>Kutis</w:t>
    </w:r>
    <w:proofErr w:type="spellEnd"/>
    <w:r w:rsidRPr="002B110D">
      <w:rPr>
        <w:rFonts w:ascii="Georgia" w:hAnsi="Georgia" w:cs="Segoe UI"/>
        <w:shd w:val="clear" w:color="auto" w:fill="FFFFFF"/>
      </w:rPr>
      <w:t>. Used by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8F22" w14:textId="77777777" w:rsidR="00D10E2E" w:rsidRDefault="00D10E2E" w:rsidP="002B110D">
      <w:r>
        <w:separator/>
      </w:r>
    </w:p>
  </w:footnote>
  <w:footnote w:type="continuationSeparator" w:id="0">
    <w:p w14:paraId="6FD8FE2A" w14:textId="77777777" w:rsidR="00D10E2E" w:rsidRDefault="00D10E2E" w:rsidP="002B1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6D3D"/>
    <w:multiLevelType w:val="multilevel"/>
    <w:tmpl w:val="F1FE4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96FC4"/>
    <w:multiLevelType w:val="multilevel"/>
    <w:tmpl w:val="08169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BA3E1D"/>
    <w:multiLevelType w:val="multilevel"/>
    <w:tmpl w:val="2C88A3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013E41"/>
    <w:multiLevelType w:val="multilevel"/>
    <w:tmpl w:val="FDA8D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CC6CCD"/>
    <w:multiLevelType w:val="multilevel"/>
    <w:tmpl w:val="76C62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lvlOverride w:ilvl="0">
      <w:lvl w:ilvl="0">
        <w:numFmt w:val="decimal"/>
        <w:lvlText w:val="%1."/>
        <w:lvlJc w:val="left"/>
      </w:lvl>
    </w:lvlOverride>
  </w:num>
  <w:num w:numId="5">
    <w:abstractNumId w:val="2"/>
    <w:lvlOverride w:ilvl="0">
      <w:lvl w:ilvl="0">
        <w:numFmt w:val="decimal"/>
        <w:lvlText w:val="%1."/>
        <w:lvlJc w:val="left"/>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7E"/>
    <w:rsid w:val="000C76BB"/>
    <w:rsid w:val="000D41BA"/>
    <w:rsid w:val="000F5770"/>
    <w:rsid w:val="0016295B"/>
    <w:rsid w:val="001807B9"/>
    <w:rsid w:val="001867EB"/>
    <w:rsid w:val="001A7CD6"/>
    <w:rsid w:val="0022211B"/>
    <w:rsid w:val="0024667E"/>
    <w:rsid w:val="002502E0"/>
    <w:rsid w:val="00264D5D"/>
    <w:rsid w:val="002903A9"/>
    <w:rsid w:val="002B110D"/>
    <w:rsid w:val="002C1491"/>
    <w:rsid w:val="00381415"/>
    <w:rsid w:val="0039233F"/>
    <w:rsid w:val="003A05CB"/>
    <w:rsid w:val="00453635"/>
    <w:rsid w:val="00486EB5"/>
    <w:rsid w:val="004C011E"/>
    <w:rsid w:val="004E665E"/>
    <w:rsid w:val="004F6D13"/>
    <w:rsid w:val="0054277E"/>
    <w:rsid w:val="00547227"/>
    <w:rsid w:val="00552BFB"/>
    <w:rsid w:val="005F478D"/>
    <w:rsid w:val="00626473"/>
    <w:rsid w:val="006718E5"/>
    <w:rsid w:val="006B1092"/>
    <w:rsid w:val="007001A5"/>
    <w:rsid w:val="007407FA"/>
    <w:rsid w:val="00744E21"/>
    <w:rsid w:val="00785131"/>
    <w:rsid w:val="008263A3"/>
    <w:rsid w:val="008709C3"/>
    <w:rsid w:val="008900DF"/>
    <w:rsid w:val="00A11F73"/>
    <w:rsid w:val="00A232E3"/>
    <w:rsid w:val="00AC4FAA"/>
    <w:rsid w:val="00AC6D53"/>
    <w:rsid w:val="00AC7F79"/>
    <w:rsid w:val="00AD39A4"/>
    <w:rsid w:val="00AD66C7"/>
    <w:rsid w:val="00B45742"/>
    <w:rsid w:val="00B67C00"/>
    <w:rsid w:val="00B726A3"/>
    <w:rsid w:val="00B80121"/>
    <w:rsid w:val="00C07AEC"/>
    <w:rsid w:val="00C134BF"/>
    <w:rsid w:val="00C90DD4"/>
    <w:rsid w:val="00C9792F"/>
    <w:rsid w:val="00C979E9"/>
    <w:rsid w:val="00CB3BC4"/>
    <w:rsid w:val="00CC77CC"/>
    <w:rsid w:val="00D10E2E"/>
    <w:rsid w:val="00D17DC8"/>
    <w:rsid w:val="00D4770F"/>
    <w:rsid w:val="00D562EE"/>
    <w:rsid w:val="00D73B0B"/>
    <w:rsid w:val="00D97CBB"/>
    <w:rsid w:val="00E31044"/>
    <w:rsid w:val="00EB038C"/>
    <w:rsid w:val="00EE4623"/>
    <w:rsid w:val="00EF0FB0"/>
    <w:rsid w:val="00F10B1F"/>
    <w:rsid w:val="00F44266"/>
    <w:rsid w:val="00F669A7"/>
    <w:rsid w:val="00F928AF"/>
    <w:rsid w:val="00FB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617F"/>
  <w15:chartTrackingRefBased/>
  <w15:docId w15:val="{A3DC0E0B-E7A2-460E-ABAB-64040AC6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67E"/>
    <w:pPr>
      <w:spacing w:after="0" w:line="240" w:lineRule="auto"/>
    </w:pPr>
    <w:rPr>
      <w:rFonts w:ascii="Georgia" w:eastAsia="Times New Roman" w:hAnsi="Georgia" w:cs="Times New Roman"/>
      <w:sz w:val="24"/>
      <w:szCs w:val="24"/>
    </w:rPr>
  </w:style>
  <w:style w:type="paragraph" w:styleId="Heading1">
    <w:name w:val="heading 1"/>
    <w:basedOn w:val="Normal"/>
    <w:next w:val="Normal"/>
    <w:link w:val="Heading1Char"/>
    <w:autoRedefine/>
    <w:uiPriority w:val="9"/>
    <w:qFormat/>
    <w:rsid w:val="000C76BB"/>
    <w:pPr>
      <w:keepNext/>
      <w:keepLines/>
      <w:spacing w:before="240" w:after="100" w:afterAutospacing="1"/>
      <w:jc w:val="center"/>
      <w:outlineLvl w:val="0"/>
    </w:pPr>
    <w:rPr>
      <w:rFonts w:ascii="Arial" w:eastAsiaTheme="majorEastAsia" w:hAnsi="Arial" w:cstheme="majorBidi"/>
      <w:b/>
      <w:sz w:val="40"/>
      <w:szCs w:val="32"/>
    </w:rPr>
  </w:style>
  <w:style w:type="paragraph" w:styleId="Heading2">
    <w:name w:val="heading 2"/>
    <w:basedOn w:val="Normal"/>
    <w:link w:val="Heading2Char"/>
    <w:uiPriority w:val="9"/>
    <w:unhideWhenUsed/>
    <w:qFormat/>
    <w:rsid w:val="000C76BB"/>
    <w:pPr>
      <w:keepNext/>
      <w:keepLines/>
      <w:spacing w:after="60" w:line="288" w:lineRule="auto"/>
      <w:contextualSpacing/>
      <w:jc w:val="center"/>
      <w:outlineLvl w:val="1"/>
    </w:pPr>
    <w:rPr>
      <w:rFonts w:ascii="Arial" w:eastAsiaTheme="majorEastAsia" w:hAnsi="Arial" w:cstheme="majorBidi"/>
      <w:b/>
      <w:color w:val="000000" w:themeColor="text1"/>
      <w:sz w:val="32"/>
      <w:szCs w:val="26"/>
    </w:rPr>
  </w:style>
  <w:style w:type="paragraph" w:styleId="Heading3">
    <w:name w:val="heading 3"/>
    <w:basedOn w:val="Normal"/>
    <w:next w:val="Normal"/>
    <w:link w:val="Heading3Char"/>
    <w:uiPriority w:val="9"/>
    <w:unhideWhenUsed/>
    <w:qFormat/>
    <w:rsid w:val="00B80121"/>
    <w:pPr>
      <w:keepNext/>
      <w:keepLines/>
      <w:spacing w:before="40"/>
      <w:outlineLvl w:val="2"/>
    </w:pPr>
    <w:rPr>
      <w:rFonts w:ascii="Arial" w:eastAsiaTheme="majorEastAsia" w:hAnsi="Arial"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6BB"/>
    <w:rPr>
      <w:rFonts w:ascii="Arial" w:eastAsiaTheme="majorEastAsia" w:hAnsi="Arial" w:cstheme="majorBidi"/>
      <w:b/>
      <w:color w:val="000000" w:themeColor="text1"/>
      <w:sz w:val="32"/>
      <w:szCs w:val="26"/>
    </w:rPr>
  </w:style>
  <w:style w:type="paragraph" w:styleId="Title">
    <w:name w:val="Title"/>
    <w:basedOn w:val="Normal"/>
    <w:link w:val="TitleChar"/>
    <w:uiPriority w:val="1"/>
    <w:qFormat/>
    <w:rsid w:val="0024667E"/>
    <w:pPr>
      <w:keepNext/>
      <w:keepLines/>
      <w:pBdr>
        <w:top w:val="single" w:sz="4" w:space="28" w:color="auto"/>
        <w:left w:val="single" w:sz="4" w:space="4" w:color="auto"/>
        <w:bottom w:val="single" w:sz="4" w:space="28" w:color="auto"/>
        <w:right w:val="single" w:sz="4" w:space="4" w:color="auto"/>
      </w:pBdr>
      <w:shd w:val="clear" w:color="auto" w:fill="003963"/>
      <w:spacing w:after="360"/>
      <w:ind w:left="72" w:right="72"/>
      <w:jc w:val="center"/>
    </w:pPr>
    <w:rPr>
      <w:rFonts w:ascii="Arial" w:eastAsiaTheme="majorEastAsia" w:hAnsi="Arial" w:cstheme="majorBidi"/>
      <w:b/>
      <w:color w:val="FFFFFF" w:themeColor="background1"/>
      <w:kern w:val="28"/>
      <w:sz w:val="56"/>
      <w:szCs w:val="56"/>
    </w:rPr>
  </w:style>
  <w:style w:type="character" w:customStyle="1" w:styleId="TitleChar">
    <w:name w:val="Title Char"/>
    <w:basedOn w:val="DefaultParagraphFont"/>
    <w:link w:val="Title"/>
    <w:uiPriority w:val="1"/>
    <w:rsid w:val="0024667E"/>
    <w:rPr>
      <w:rFonts w:ascii="Arial" w:eastAsiaTheme="majorEastAsia" w:hAnsi="Arial" w:cstheme="majorBidi"/>
      <w:b/>
      <w:color w:val="FFFFFF" w:themeColor="background1"/>
      <w:kern w:val="28"/>
      <w:sz w:val="56"/>
      <w:szCs w:val="56"/>
      <w:shd w:val="clear" w:color="auto" w:fill="003963"/>
    </w:rPr>
  </w:style>
  <w:style w:type="paragraph" w:styleId="ListParagraph">
    <w:name w:val="List Paragraph"/>
    <w:basedOn w:val="Normal"/>
    <w:uiPriority w:val="34"/>
    <w:qFormat/>
    <w:rsid w:val="00EE4623"/>
    <w:pPr>
      <w:ind w:left="720"/>
      <w:contextualSpacing/>
    </w:pPr>
    <w:rPr>
      <w:rFonts w:eastAsiaTheme="minorEastAsia" w:cstheme="minorBidi"/>
    </w:rPr>
  </w:style>
  <w:style w:type="character" w:customStyle="1" w:styleId="Heading1Char">
    <w:name w:val="Heading 1 Char"/>
    <w:basedOn w:val="DefaultParagraphFont"/>
    <w:link w:val="Heading1"/>
    <w:uiPriority w:val="9"/>
    <w:rsid w:val="000C76BB"/>
    <w:rPr>
      <w:rFonts w:ascii="Arial" w:eastAsiaTheme="majorEastAsia" w:hAnsi="Arial" w:cstheme="majorBidi"/>
      <w:b/>
      <w:sz w:val="40"/>
      <w:szCs w:val="32"/>
    </w:rPr>
  </w:style>
  <w:style w:type="paragraph" w:styleId="Footer">
    <w:name w:val="footer"/>
    <w:basedOn w:val="Normal"/>
    <w:link w:val="FooterChar"/>
    <w:uiPriority w:val="99"/>
    <w:unhideWhenUsed/>
    <w:qFormat/>
    <w:rsid w:val="00AD66C7"/>
    <w:pPr>
      <w:tabs>
        <w:tab w:val="center" w:pos="4680"/>
        <w:tab w:val="right" w:pos="9360"/>
      </w:tabs>
      <w:jc w:val="center"/>
    </w:pPr>
    <w:rPr>
      <w:rFonts w:asciiTheme="minorHAnsi" w:eastAsiaTheme="minorHAnsi" w:hAnsiTheme="minorHAnsi" w:cstheme="minorBidi"/>
      <w:color w:val="404040" w:themeColor="text1" w:themeTint="BF"/>
      <w:sz w:val="20"/>
      <w:szCs w:val="20"/>
    </w:rPr>
  </w:style>
  <w:style w:type="character" w:customStyle="1" w:styleId="FooterChar">
    <w:name w:val="Footer Char"/>
    <w:basedOn w:val="DefaultParagraphFont"/>
    <w:link w:val="Footer"/>
    <w:uiPriority w:val="99"/>
    <w:rsid w:val="00AD66C7"/>
    <w:rPr>
      <w:color w:val="404040" w:themeColor="text1" w:themeTint="BF"/>
      <w:sz w:val="20"/>
      <w:szCs w:val="20"/>
    </w:rPr>
  </w:style>
  <w:style w:type="character" w:styleId="Hyperlink">
    <w:name w:val="Hyperlink"/>
    <w:basedOn w:val="DefaultParagraphFont"/>
    <w:uiPriority w:val="99"/>
    <w:unhideWhenUsed/>
    <w:rsid w:val="00AD66C7"/>
    <w:rPr>
      <w:color w:val="0563C1" w:themeColor="hyperlink"/>
      <w:u w:val="single"/>
    </w:rPr>
  </w:style>
  <w:style w:type="paragraph" w:styleId="Subtitle">
    <w:name w:val="Subtitle"/>
    <w:basedOn w:val="Normal"/>
    <w:next w:val="Normal"/>
    <w:link w:val="SubtitleChar"/>
    <w:uiPriority w:val="11"/>
    <w:qFormat/>
    <w:rsid w:val="007407FA"/>
    <w:pPr>
      <w:numPr>
        <w:ilvl w:val="1"/>
      </w:numPr>
      <w:spacing w:after="160"/>
      <w:jc w:val="center"/>
    </w:pPr>
    <w:rPr>
      <w:rFonts w:ascii="Arial" w:eastAsiaTheme="minorEastAsia" w:hAnsi="Arial" w:cstheme="minorBidi"/>
      <w:color w:val="404040" w:themeColor="text1" w:themeTint="BF"/>
      <w:spacing w:val="15"/>
      <w:sz w:val="32"/>
      <w:szCs w:val="22"/>
    </w:rPr>
  </w:style>
  <w:style w:type="character" w:customStyle="1" w:styleId="SubtitleChar">
    <w:name w:val="Subtitle Char"/>
    <w:basedOn w:val="DefaultParagraphFont"/>
    <w:link w:val="Subtitle"/>
    <w:uiPriority w:val="11"/>
    <w:rsid w:val="007407FA"/>
    <w:rPr>
      <w:rFonts w:ascii="Arial" w:eastAsiaTheme="minorEastAsia" w:hAnsi="Arial"/>
      <w:color w:val="404040" w:themeColor="text1" w:themeTint="BF"/>
      <w:spacing w:val="15"/>
      <w:sz w:val="32"/>
    </w:rPr>
  </w:style>
  <w:style w:type="table" w:styleId="GridTable4">
    <w:name w:val="Grid Table 4"/>
    <w:basedOn w:val="TableNormal"/>
    <w:uiPriority w:val="49"/>
    <w:rsid w:val="00F928A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B80121"/>
    <w:rPr>
      <w:rFonts w:ascii="Arial" w:eastAsiaTheme="majorEastAsia" w:hAnsi="Arial" w:cstheme="majorBidi"/>
      <w:color w:val="1F3763" w:themeColor="accent1" w:themeShade="7F"/>
      <w:sz w:val="28"/>
      <w:szCs w:val="24"/>
    </w:rPr>
  </w:style>
  <w:style w:type="character" w:customStyle="1" w:styleId="UnresolvedMention1">
    <w:name w:val="Unresolved Mention1"/>
    <w:basedOn w:val="DefaultParagraphFont"/>
    <w:uiPriority w:val="99"/>
    <w:semiHidden/>
    <w:unhideWhenUsed/>
    <w:rsid w:val="008263A3"/>
    <w:rPr>
      <w:color w:val="605E5C"/>
      <w:shd w:val="clear" w:color="auto" w:fill="E1DFDD"/>
    </w:rPr>
  </w:style>
  <w:style w:type="paragraph" w:styleId="TOCHeading">
    <w:name w:val="TOC Heading"/>
    <w:basedOn w:val="Heading1"/>
    <w:next w:val="Normal"/>
    <w:uiPriority w:val="39"/>
    <w:unhideWhenUsed/>
    <w:qFormat/>
    <w:rsid w:val="00552BFB"/>
    <w:pPr>
      <w:spacing w:after="0" w:afterAutospacing="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52BFB"/>
    <w:pPr>
      <w:spacing w:after="100"/>
    </w:pPr>
  </w:style>
  <w:style w:type="paragraph" w:styleId="TOC2">
    <w:name w:val="toc 2"/>
    <w:basedOn w:val="Normal"/>
    <w:next w:val="Normal"/>
    <w:autoRedefine/>
    <w:uiPriority w:val="39"/>
    <w:unhideWhenUsed/>
    <w:rsid w:val="00552BFB"/>
    <w:pPr>
      <w:spacing w:after="100"/>
      <w:ind w:left="240"/>
    </w:pPr>
  </w:style>
  <w:style w:type="paragraph" w:styleId="TOC3">
    <w:name w:val="toc 3"/>
    <w:basedOn w:val="Normal"/>
    <w:next w:val="Normal"/>
    <w:autoRedefine/>
    <w:uiPriority w:val="39"/>
    <w:unhideWhenUsed/>
    <w:rsid w:val="00552BFB"/>
    <w:pPr>
      <w:spacing w:after="100"/>
      <w:ind w:left="480"/>
    </w:pPr>
  </w:style>
  <w:style w:type="paragraph" w:styleId="BalloonText">
    <w:name w:val="Balloon Text"/>
    <w:basedOn w:val="Normal"/>
    <w:link w:val="BalloonTextChar"/>
    <w:uiPriority w:val="99"/>
    <w:semiHidden/>
    <w:unhideWhenUsed/>
    <w:rsid w:val="001A7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CD6"/>
    <w:rPr>
      <w:rFonts w:ascii="Segoe UI" w:eastAsia="Times New Roman" w:hAnsi="Segoe UI" w:cs="Segoe UI"/>
      <w:sz w:val="18"/>
      <w:szCs w:val="18"/>
    </w:rPr>
  </w:style>
  <w:style w:type="paragraph" w:styleId="NormalWeb">
    <w:name w:val="Normal (Web)"/>
    <w:basedOn w:val="Normal"/>
    <w:uiPriority w:val="99"/>
    <w:unhideWhenUsed/>
    <w:rsid w:val="001A7CD6"/>
    <w:pPr>
      <w:spacing w:before="100" w:beforeAutospacing="1" w:after="100" w:afterAutospacing="1"/>
    </w:pPr>
    <w:rPr>
      <w:rFonts w:ascii="Times New Roman" w:hAnsi="Times New Roman"/>
    </w:rPr>
  </w:style>
  <w:style w:type="character" w:customStyle="1" w:styleId="apple-tab-span">
    <w:name w:val="apple-tab-span"/>
    <w:basedOn w:val="DefaultParagraphFont"/>
    <w:rsid w:val="001A7CD6"/>
  </w:style>
  <w:style w:type="character" w:customStyle="1" w:styleId="UnresolvedMention">
    <w:name w:val="Unresolved Mention"/>
    <w:basedOn w:val="DefaultParagraphFont"/>
    <w:uiPriority w:val="99"/>
    <w:semiHidden/>
    <w:unhideWhenUsed/>
    <w:rsid w:val="008900DF"/>
    <w:rPr>
      <w:color w:val="605E5C"/>
      <w:shd w:val="clear" w:color="auto" w:fill="E1DFDD"/>
    </w:rPr>
  </w:style>
  <w:style w:type="table" w:styleId="TableGrid">
    <w:name w:val="Table Grid"/>
    <w:basedOn w:val="TableNormal"/>
    <w:uiPriority w:val="39"/>
    <w:rsid w:val="00EF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10D"/>
    <w:pPr>
      <w:tabs>
        <w:tab w:val="center" w:pos="4680"/>
        <w:tab w:val="right" w:pos="9360"/>
      </w:tabs>
    </w:pPr>
  </w:style>
  <w:style w:type="character" w:customStyle="1" w:styleId="HeaderChar">
    <w:name w:val="Header Char"/>
    <w:basedOn w:val="DefaultParagraphFont"/>
    <w:link w:val="Header"/>
    <w:uiPriority w:val="99"/>
    <w:rsid w:val="002B110D"/>
    <w:rPr>
      <w:rFonts w:ascii="Georgia" w:eastAsia="Times New Roma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4486">
      <w:bodyDiv w:val="1"/>
      <w:marLeft w:val="0"/>
      <w:marRight w:val="0"/>
      <w:marTop w:val="0"/>
      <w:marBottom w:val="0"/>
      <w:divBdr>
        <w:top w:val="none" w:sz="0" w:space="0" w:color="auto"/>
        <w:left w:val="none" w:sz="0" w:space="0" w:color="auto"/>
        <w:bottom w:val="none" w:sz="0" w:space="0" w:color="auto"/>
        <w:right w:val="none" w:sz="0" w:space="0" w:color="auto"/>
      </w:divBdr>
      <w:divsChild>
        <w:div w:id="1290671009">
          <w:marLeft w:val="0"/>
          <w:marRight w:val="0"/>
          <w:marTop w:val="0"/>
          <w:marBottom w:val="0"/>
          <w:divBdr>
            <w:top w:val="none" w:sz="0" w:space="0" w:color="auto"/>
            <w:left w:val="none" w:sz="0" w:space="0" w:color="auto"/>
            <w:bottom w:val="none" w:sz="0" w:space="0" w:color="auto"/>
            <w:right w:val="none" w:sz="0" w:space="0" w:color="auto"/>
          </w:divBdr>
        </w:div>
      </w:divsChild>
    </w:div>
    <w:div w:id="406028009">
      <w:bodyDiv w:val="1"/>
      <w:marLeft w:val="0"/>
      <w:marRight w:val="0"/>
      <w:marTop w:val="0"/>
      <w:marBottom w:val="0"/>
      <w:divBdr>
        <w:top w:val="none" w:sz="0" w:space="0" w:color="auto"/>
        <w:left w:val="none" w:sz="0" w:space="0" w:color="auto"/>
        <w:bottom w:val="none" w:sz="0" w:space="0" w:color="auto"/>
        <w:right w:val="none" w:sz="0" w:space="0" w:color="auto"/>
      </w:divBdr>
    </w:div>
    <w:div w:id="434635364">
      <w:bodyDiv w:val="1"/>
      <w:marLeft w:val="0"/>
      <w:marRight w:val="0"/>
      <w:marTop w:val="0"/>
      <w:marBottom w:val="0"/>
      <w:divBdr>
        <w:top w:val="none" w:sz="0" w:space="0" w:color="auto"/>
        <w:left w:val="none" w:sz="0" w:space="0" w:color="auto"/>
        <w:bottom w:val="none" w:sz="0" w:space="0" w:color="auto"/>
        <w:right w:val="none" w:sz="0" w:space="0" w:color="auto"/>
      </w:divBdr>
    </w:div>
    <w:div w:id="700857038">
      <w:bodyDiv w:val="1"/>
      <w:marLeft w:val="0"/>
      <w:marRight w:val="0"/>
      <w:marTop w:val="0"/>
      <w:marBottom w:val="0"/>
      <w:divBdr>
        <w:top w:val="none" w:sz="0" w:space="0" w:color="auto"/>
        <w:left w:val="none" w:sz="0" w:space="0" w:color="auto"/>
        <w:bottom w:val="none" w:sz="0" w:space="0" w:color="auto"/>
        <w:right w:val="none" w:sz="0" w:space="0" w:color="auto"/>
      </w:divBdr>
    </w:div>
    <w:div w:id="768279282">
      <w:bodyDiv w:val="1"/>
      <w:marLeft w:val="0"/>
      <w:marRight w:val="0"/>
      <w:marTop w:val="0"/>
      <w:marBottom w:val="0"/>
      <w:divBdr>
        <w:top w:val="none" w:sz="0" w:space="0" w:color="auto"/>
        <w:left w:val="none" w:sz="0" w:space="0" w:color="auto"/>
        <w:bottom w:val="none" w:sz="0" w:space="0" w:color="auto"/>
        <w:right w:val="none" w:sz="0" w:space="0" w:color="auto"/>
      </w:divBdr>
    </w:div>
    <w:div w:id="855774058">
      <w:bodyDiv w:val="1"/>
      <w:marLeft w:val="0"/>
      <w:marRight w:val="0"/>
      <w:marTop w:val="0"/>
      <w:marBottom w:val="0"/>
      <w:divBdr>
        <w:top w:val="none" w:sz="0" w:space="0" w:color="auto"/>
        <w:left w:val="none" w:sz="0" w:space="0" w:color="auto"/>
        <w:bottom w:val="none" w:sz="0" w:space="0" w:color="auto"/>
        <w:right w:val="none" w:sz="0" w:space="0" w:color="auto"/>
      </w:divBdr>
    </w:div>
    <w:div w:id="959604687">
      <w:bodyDiv w:val="1"/>
      <w:marLeft w:val="0"/>
      <w:marRight w:val="0"/>
      <w:marTop w:val="0"/>
      <w:marBottom w:val="0"/>
      <w:divBdr>
        <w:top w:val="none" w:sz="0" w:space="0" w:color="auto"/>
        <w:left w:val="none" w:sz="0" w:space="0" w:color="auto"/>
        <w:bottom w:val="none" w:sz="0" w:space="0" w:color="auto"/>
        <w:right w:val="none" w:sz="0" w:space="0" w:color="auto"/>
      </w:divBdr>
    </w:div>
    <w:div w:id="1237280537">
      <w:bodyDiv w:val="1"/>
      <w:marLeft w:val="0"/>
      <w:marRight w:val="0"/>
      <w:marTop w:val="0"/>
      <w:marBottom w:val="0"/>
      <w:divBdr>
        <w:top w:val="none" w:sz="0" w:space="0" w:color="auto"/>
        <w:left w:val="none" w:sz="0" w:space="0" w:color="auto"/>
        <w:bottom w:val="none" w:sz="0" w:space="0" w:color="auto"/>
        <w:right w:val="none" w:sz="0" w:space="0" w:color="auto"/>
      </w:divBdr>
    </w:div>
    <w:div w:id="1248080658">
      <w:bodyDiv w:val="1"/>
      <w:marLeft w:val="0"/>
      <w:marRight w:val="0"/>
      <w:marTop w:val="0"/>
      <w:marBottom w:val="0"/>
      <w:divBdr>
        <w:top w:val="none" w:sz="0" w:space="0" w:color="auto"/>
        <w:left w:val="none" w:sz="0" w:space="0" w:color="auto"/>
        <w:bottom w:val="none" w:sz="0" w:space="0" w:color="auto"/>
        <w:right w:val="none" w:sz="0" w:space="0" w:color="auto"/>
      </w:divBdr>
    </w:div>
    <w:div w:id="1338267816">
      <w:bodyDiv w:val="1"/>
      <w:marLeft w:val="0"/>
      <w:marRight w:val="0"/>
      <w:marTop w:val="0"/>
      <w:marBottom w:val="0"/>
      <w:divBdr>
        <w:top w:val="none" w:sz="0" w:space="0" w:color="auto"/>
        <w:left w:val="none" w:sz="0" w:space="0" w:color="auto"/>
        <w:bottom w:val="none" w:sz="0" w:space="0" w:color="auto"/>
        <w:right w:val="none" w:sz="0" w:space="0" w:color="auto"/>
      </w:divBdr>
    </w:div>
    <w:div w:id="1626616829">
      <w:bodyDiv w:val="1"/>
      <w:marLeft w:val="0"/>
      <w:marRight w:val="0"/>
      <w:marTop w:val="0"/>
      <w:marBottom w:val="0"/>
      <w:divBdr>
        <w:top w:val="none" w:sz="0" w:space="0" w:color="auto"/>
        <w:left w:val="none" w:sz="0" w:space="0" w:color="auto"/>
        <w:bottom w:val="none" w:sz="0" w:space="0" w:color="auto"/>
        <w:right w:val="none" w:sz="0" w:space="0" w:color="auto"/>
      </w:divBdr>
    </w:div>
    <w:div w:id="1635864521">
      <w:bodyDiv w:val="1"/>
      <w:marLeft w:val="0"/>
      <w:marRight w:val="0"/>
      <w:marTop w:val="0"/>
      <w:marBottom w:val="0"/>
      <w:divBdr>
        <w:top w:val="none" w:sz="0" w:space="0" w:color="auto"/>
        <w:left w:val="none" w:sz="0" w:space="0" w:color="auto"/>
        <w:bottom w:val="none" w:sz="0" w:space="0" w:color="auto"/>
        <w:right w:val="none" w:sz="0" w:space="0" w:color="auto"/>
      </w:divBdr>
    </w:div>
    <w:div w:id="1690719735">
      <w:bodyDiv w:val="1"/>
      <w:marLeft w:val="0"/>
      <w:marRight w:val="0"/>
      <w:marTop w:val="0"/>
      <w:marBottom w:val="0"/>
      <w:divBdr>
        <w:top w:val="none" w:sz="0" w:space="0" w:color="auto"/>
        <w:left w:val="none" w:sz="0" w:space="0" w:color="auto"/>
        <w:bottom w:val="none" w:sz="0" w:space="0" w:color="auto"/>
        <w:right w:val="none" w:sz="0" w:space="0" w:color="auto"/>
      </w:divBdr>
    </w:div>
    <w:div w:id="1711294730">
      <w:bodyDiv w:val="1"/>
      <w:marLeft w:val="0"/>
      <w:marRight w:val="0"/>
      <w:marTop w:val="0"/>
      <w:marBottom w:val="0"/>
      <w:divBdr>
        <w:top w:val="none" w:sz="0" w:space="0" w:color="auto"/>
        <w:left w:val="none" w:sz="0" w:space="0" w:color="auto"/>
        <w:bottom w:val="none" w:sz="0" w:space="0" w:color="auto"/>
        <w:right w:val="none" w:sz="0" w:space="0" w:color="auto"/>
      </w:divBdr>
    </w:div>
    <w:div w:id="1719551149">
      <w:bodyDiv w:val="1"/>
      <w:marLeft w:val="0"/>
      <w:marRight w:val="0"/>
      <w:marTop w:val="0"/>
      <w:marBottom w:val="0"/>
      <w:divBdr>
        <w:top w:val="none" w:sz="0" w:space="0" w:color="auto"/>
        <w:left w:val="none" w:sz="0" w:space="0" w:color="auto"/>
        <w:bottom w:val="none" w:sz="0" w:space="0" w:color="auto"/>
        <w:right w:val="none" w:sz="0" w:space="0" w:color="auto"/>
      </w:divBdr>
    </w:div>
    <w:div w:id="1721397932">
      <w:bodyDiv w:val="1"/>
      <w:marLeft w:val="0"/>
      <w:marRight w:val="0"/>
      <w:marTop w:val="0"/>
      <w:marBottom w:val="0"/>
      <w:divBdr>
        <w:top w:val="none" w:sz="0" w:space="0" w:color="auto"/>
        <w:left w:val="none" w:sz="0" w:space="0" w:color="auto"/>
        <w:bottom w:val="none" w:sz="0" w:space="0" w:color="auto"/>
        <w:right w:val="none" w:sz="0" w:space="0" w:color="auto"/>
      </w:divBdr>
    </w:div>
    <w:div w:id="1847788457">
      <w:bodyDiv w:val="1"/>
      <w:marLeft w:val="0"/>
      <w:marRight w:val="0"/>
      <w:marTop w:val="0"/>
      <w:marBottom w:val="0"/>
      <w:divBdr>
        <w:top w:val="none" w:sz="0" w:space="0" w:color="auto"/>
        <w:left w:val="none" w:sz="0" w:space="0" w:color="auto"/>
        <w:bottom w:val="none" w:sz="0" w:space="0" w:color="auto"/>
        <w:right w:val="none" w:sz="0" w:space="0" w:color="auto"/>
      </w:divBdr>
    </w:div>
    <w:div w:id="1911455023">
      <w:bodyDiv w:val="1"/>
      <w:marLeft w:val="0"/>
      <w:marRight w:val="0"/>
      <w:marTop w:val="0"/>
      <w:marBottom w:val="0"/>
      <w:divBdr>
        <w:top w:val="none" w:sz="0" w:space="0" w:color="auto"/>
        <w:left w:val="none" w:sz="0" w:space="0" w:color="auto"/>
        <w:bottom w:val="none" w:sz="0" w:space="0" w:color="auto"/>
        <w:right w:val="none" w:sz="0" w:space="0" w:color="auto"/>
      </w:divBdr>
    </w:div>
    <w:div w:id="1975912475">
      <w:bodyDiv w:val="1"/>
      <w:marLeft w:val="0"/>
      <w:marRight w:val="0"/>
      <w:marTop w:val="0"/>
      <w:marBottom w:val="0"/>
      <w:divBdr>
        <w:top w:val="none" w:sz="0" w:space="0" w:color="auto"/>
        <w:left w:val="none" w:sz="0" w:space="0" w:color="auto"/>
        <w:bottom w:val="none" w:sz="0" w:space="0" w:color="auto"/>
        <w:right w:val="none" w:sz="0" w:space="0" w:color="auto"/>
      </w:divBdr>
    </w:div>
    <w:div w:id="2077050160">
      <w:bodyDiv w:val="1"/>
      <w:marLeft w:val="0"/>
      <w:marRight w:val="0"/>
      <w:marTop w:val="0"/>
      <w:marBottom w:val="0"/>
      <w:divBdr>
        <w:top w:val="none" w:sz="0" w:space="0" w:color="auto"/>
        <w:left w:val="none" w:sz="0" w:space="0" w:color="auto"/>
        <w:bottom w:val="none" w:sz="0" w:space="0" w:color="auto"/>
        <w:right w:val="none" w:sz="0" w:space="0" w:color="auto"/>
      </w:divBdr>
    </w:div>
    <w:div w:id="2084327875">
      <w:bodyDiv w:val="1"/>
      <w:marLeft w:val="0"/>
      <w:marRight w:val="0"/>
      <w:marTop w:val="0"/>
      <w:marBottom w:val="0"/>
      <w:divBdr>
        <w:top w:val="none" w:sz="0" w:space="0" w:color="auto"/>
        <w:left w:val="none" w:sz="0" w:space="0" w:color="auto"/>
        <w:bottom w:val="none" w:sz="0" w:space="0" w:color="auto"/>
        <w:right w:val="none" w:sz="0" w:space="0" w:color="auto"/>
      </w:divBdr>
    </w:div>
    <w:div w:id="2085296387">
      <w:bodyDiv w:val="1"/>
      <w:marLeft w:val="0"/>
      <w:marRight w:val="0"/>
      <w:marTop w:val="0"/>
      <w:marBottom w:val="0"/>
      <w:divBdr>
        <w:top w:val="none" w:sz="0" w:space="0" w:color="auto"/>
        <w:left w:val="none" w:sz="0" w:space="0" w:color="auto"/>
        <w:bottom w:val="none" w:sz="0" w:space="0" w:color="auto"/>
        <w:right w:val="none" w:sz="0" w:space="0" w:color="auto"/>
      </w:divBdr>
    </w:div>
    <w:div w:id="20853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B3389D61A0ED44B2CBC17197C25847" ma:contentTypeVersion="11" ma:contentTypeDescription="Create a new document." ma:contentTypeScope="" ma:versionID="b8da1348fcd6d7ceb0ed0c1b8a22c6f7">
  <xsd:schema xmlns:xsd="http://www.w3.org/2001/XMLSchema" xmlns:xs="http://www.w3.org/2001/XMLSchema" xmlns:p="http://schemas.microsoft.com/office/2006/metadata/properties" xmlns:ns2="7ef2917f-459d-4024-80d8-3f3655b461c9" xmlns:ns3="a811c8bf-c143-484a-9fb6-c91de6c1c7be" targetNamespace="http://schemas.microsoft.com/office/2006/metadata/properties" ma:root="true" ma:fieldsID="abea0eba0f4645abe4b118439e524852" ns2:_="" ns3:_="">
    <xsd:import namespace="7ef2917f-459d-4024-80d8-3f3655b461c9"/>
    <xsd:import namespace="a811c8bf-c143-484a-9fb6-c91de6c1c7b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2917f-459d-4024-80d8-3f3655b461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1c8bf-c143-484a-9fb6-c91de6c1c7b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ec5eb9-0682-4a36-b3fd-9ac048e06bb4}" ma:internalName="TaxCatchAll" ma:showField="CatchAllData" ma:web="a811c8bf-c143-484a-9fb6-c91de6c1c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11c8bf-c143-484a-9fb6-c91de6c1c7be" xsi:nil="true"/>
    <lcf76f155ced4ddcb4097134ff3c332f xmlns="7ef2917f-459d-4024-80d8-3f3655b461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278216-1D13-4870-A508-9FEE25AB5ADF}">
  <ds:schemaRefs>
    <ds:schemaRef ds:uri="http://schemas.openxmlformats.org/officeDocument/2006/bibliography"/>
  </ds:schemaRefs>
</ds:datastoreItem>
</file>

<file path=customXml/itemProps2.xml><?xml version="1.0" encoding="utf-8"?>
<ds:datastoreItem xmlns:ds="http://schemas.openxmlformats.org/officeDocument/2006/customXml" ds:itemID="{7F388CD7-FD5F-43DE-91BC-96CFE2DCFB21}"/>
</file>

<file path=customXml/itemProps3.xml><?xml version="1.0" encoding="utf-8"?>
<ds:datastoreItem xmlns:ds="http://schemas.openxmlformats.org/officeDocument/2006/customXml" ds:itemID="{385F9F07-9C51-473A-8151-B644B79B95B3}"/>
</file>

<file path=customXml/itemProps4.xml><?xml version="1.0" encoding="utf-8"?>
<ds:datastoreItem xmlns:ds="http://schemas.openxmlformats.org/officeDocument/2006/customXml" ds:itemID="{DF57ABE7-0993-4DFE-95C3-498A795D8C43}"/>
</file>

<file path=docProps/app.xml><?xml version="1.0" encoding="utf-8"?>
<Properties xmlns="http://schemas.openxmlformats.org/officeDocument/2006/extended-properties" xmlns:vt="http://schemas.openxmlformats.org/officeDocument/2006/docPropsVTypes">
  <Template>Normal.dotm</Template>
  <TotalTime>3</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Shirk, Jennifer Rose Krautmann</dc:creator>
  <cp:keywords/>
  <dc:description/>
  <cp:lastModifiedBy>Tock, Erin</cp:lastModifiedBy>
  <cp:revision>4</cp:revision>
  <dcterms:created xsi:type="dcterms:W3CDTF">2019-09-23T14:47:00Z</dcterms:created>
  <dcterms:modified xsi:type="dcterms:W3CDTF">2019-09-27T17:16:00Z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0x0101002FB3389D61A0ED44B2CBC17197C25847</vt:lpwstr>
  </property>
</Properties>
</file>